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5AEF5C44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</w:t>
      </w:r>
      <w:r w:rsidR="00D12C11">
        <w:rPr>
          <w:rFonts w:ascii="Trebuchet MS" w:eastAsia="Trebuchet MS" w:hAnsi="Trebuchet MS" w:cs="Trebuchet MS"/>
          <w:b/>
          <w:color w:val="000000"/>
          <w:sz w:val="28"/>
          <w:lang w:val="fr-FR"/>
        </w:rPr>
        <w:t>3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1B24BF35" w:rsidR="008A7DE5" w:rsidRPr="00E05CE4" w:rsidRDefault="008A7DE5" w:rsidP="008A7DE5">
      <w:pPr>
        <w:jc w:val="center"/>
        <w:rPr>
          <w:lang w:val="fr-FR"/>
        </w:rPr>
      </w:pPr>
      <w:r w:rsidRPr="00E569B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E569B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E569BA" w:rsidRPr="00E569B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2013B5F2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</w:t>
      </w:r>
      <w:r w:rsidR="00D12C11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3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08A69A9F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 xml:space="preserve">lot </w:t>
      </w:r>
      <w:r w:rsidR="00D12C11">
        <w:rPr>
          <w:bCs/>
          <w:color w:val="000000"/>
          <w:lang w:val="fr-FR"/>
        </w:rPr>
        <w:t>3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1FF54FE6" w14:textId="1F113D1B" w:rsidR="00B25D16" w:rsidRPr="004033C2" w:rsidRDefault="00E569BA" w:rsidP="00B25D16">
      <w:pPr>
        <w:pStyle w:val="ParagrapheIndent2"/>
        <w:spacing w:after="240" w:line="232" w:lineRule="exact"/>
        <w:ind w:left="20" w:right="20"/>
        <w:jc w:val="both"/>
        <w:rPr>
          <w:bCs/>
          <w:color w:val="000000"/>
          <w:lang w:val="fr-FR"/>
        </w:rPr>
      </w:pPr>
      <w:bookmarkStart w:id="15" w:name="_Hlk92877077"/>
      <w:r w:rsidRPr="00E569BA">
        <w:rPr>
          <w:b w:val="0"/>
          <w:bCs/>
          <w:color w:val="000000"/>
          <w:lang w:val="fr-FR"/>
        </w:rPr>
        <w:t>Le délai d'exécution global de l’ensemble des travaux (y compris une période de préparation d’un mois et, si nécessaire, essais et réglages) est de 15 mois maximum pour tous les lots.</w:t>
      </w:r>
    </w:p>
    <w:p w14:paraId="350A4CE6" w14:textId="4677E038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E569BA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6157B4B0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E569BA">
            <w:rPr>
              <w:color w:val="000000"/>
              <w:lang w:val="fr-FR"/>
            </w:rPr>
            <w:t>Consultation n° : 202</w:t>
          </w:r>
          <w:r w:rsidR="00371AEA" w:rsidRPr="00E569BA">
            <w:rPr>
              <w:color w:val="000000"/>
              <w:lang w:val="fr-FR"/>
            </w:rPr>
            <w:t>5</w:t>
          </w:r>
          <w:r w:rsidR="00E569BA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5BFAA98B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E569BA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E569B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E569B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E569B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7EF9"/>
    <w:rsid w:val="001143F9"/>
    <w:rsid w:val="001903CA"/>
    <w:rsid w:val="00190CAD"/>
    <w:rsid w:val="00212E8D"/>
    <w:rsid w:val="0031097D"/>
    <w:rsid w:val="00371AEA"/>
    <w:rsid w:val="003B71ED"/>
    <w:rsid w:val="003C6384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5E3081"/>
    <w:rsid w:val="006D6E54"/>
    <w:rsid w:val="006F57A5"/>
    <w:rsid w:val="00763E44"/>
    <w:rsid w:val="007D2568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2C11"/>
    <w:rsid w:val="00D177FD"/>
    <w:rsid w:val="00DF3D48"/>
    <w:rsid w:val="00E319FF"/>
    <w:rsid w:val="00E569BA"/>
    <w:rsid w:val="00F30023"/>
    <w:rsid w:val="00F572A6"/>
    <w:rsid w:val="00FD63A0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2025-06-05T15:36:00Z</dcterms:created>
  <dcterms:modified xsi:type="dcterms:W3CDTF">2025-07-01T13:07:00Z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